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e501fe4b00695bb6b35d86ba73596de12c611"/>
    <w:p>
      <w:pPr>
        <w:pStyle w:val="Heading3"/>
      </w:pPr>
      <w:r>
        <w:t xml:space="preserve">Темы для встреч с главой управы района Митино</w:t>
      </w:r>
    </w:p>
    <w:p>
      <w:pPr>
        <w:pStyle w:val="FirstParagraph"/>
      </w:pPr>
      <w:r>
        <w:t xml:space="preserve">04.02.2015</w:t>
      </w:r>
    </w:p>
    <w:p>
      <w:pPr>
        <w:pStyle w:val="BodyText"/>
      </w:pPr>
      <w:r>
        <w:t xml:space="preserve">Активные граждане Митина выбрали темы для встреч с главой управы в первом квартале 2015 года. Руководство района встречается с населением для обсуждения наиболее актуальных проблем каждую третью среду месяца. Повестку традиционных мероприятий в феврале и марте сформируют с учетом мнения горожан – участников опроса в проекте «Активный гражданин».</w:t>
      </w:r>
      <w:r>
        <w:br/>
      </w:r>
      <w:r>
        <w:t xml:space="preserve">По итогам онлайн-референдума, 45% жителей Митина проголосовали за обсуждение вопросов безопасности и общественного порядка на территории района. Оценить эффективность работы социальных служб (в том числе, в связи с пенсионной реформой) готовы более 21% граждан.О подготовке и проведении мероприятий к 70-летию Победы в Великой Отечественной войне хотели бы узнать 9% респондентов.А 14% предложили свои варианты. Большинство из них посвящены проблемам жилищно-коммунального хозяйства, пробкам возле торговых центров «Ковчег» и «Ладья», а также сохранению Митинского ландшафтного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http://horoshevo-mnevniki.mos.ru/presscenter/news/detail/1559094.html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59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559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2023-07-24T23:39:12Z</dcterms:created>
  <dcterms:modified xsi:type="dcterms:W3CDTF">2023-07-24T23:39:12Z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