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89d01e09bc73ea52c9ab31608cf3ddd1a6e09"/>
    <w:p>
      <w:pPr>
        <w:pStyle w:val="Heading3"/>
      </w:pPr>
      <w:r>
        <w:t xml:space="preserve">В экологическую стратегию Москвы включат идеи горожан</w:t>
      </w:r>
    </w:p>
    <w:p>
      <w:pPr>
        <w:pStyle w:val="FirstParagraph"/>
      </w:pPr>
      <w:r>
        <w:t xml:space="preserve">23.07.2015</w:t>
      </w:r>
    </w:p>
    <w:p>
      <w:pPr>
        <w:pStyle w:val="BodyText"/>
      </w:pPr>
      <w:r>
        <w:t xml:space="preserve">На портале «Активный гражданин» подвели итоги голосования «Новый краудсорсинг-проект «Экологическая стратегия Москвы». Из 184 тысяч проголосовавших 82% жителей одобрили идею, большая часть из которых решили принять участие в обсуждении новой экологической стратегии Москвы.</w:t>
      </w:r>
      <w:r>
        <w:br/>
      </w:r>
      <w:r>
        <w:t xml:space="preserve">Сам проект стартовал 20 июля и продлится до 31 июля. За это время будут собраны идеи горожан по реализации проекта. На сегодняшний день на площадке зарегистрировано более пяти тысяч человек. Лучшие предложения участников краудсорсинг-проекта будут включены в Экологическую стратегию города Москвы до 2030 года.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http://horoshevo-mnevniki.mos.ru/presscenter/news/detail/2027706.html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027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027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2024-12-10T13:57:02Z</dcterms:created>
  <dcterms:modified xsi:type="dcterms:W3CDTF">2024-12-10T13:57:02Z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