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c2740e7bb5d51cdd0427d5e1b30c499efa1f9"/>
    <w:p>
      <w:pPr>
        <w:pStyle w:val="Heading3"/>
      </w:pPr>
      <w:r>
        <w:t xml:space="preserve">Материалы к публичным слушаниям по «Проект планировки территорий, прилегающих к МК МЖД (транспортно-пересадочных узлов МК МЖД)». Транспортно-пересадочный узел «Хорошево»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br/>
      </w:r>
      <w:hyperlink r:id="rId20">
        <w:r>
          <w:rPr>
            <w:rStyle w:val="Hyperlink"/>
          </w:rPr>
          <w:t xml:space="preserve">ТПУ МКЖД (Публичные слушания) MP.4 (ВИДЕО)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http://horoshevo-mnevniki.mos.ru/legislation/public-hearings/detail/1863416.html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legislation/public-hearings/detail/1863416.html" TargetMode="External" /><Relationship Type="http://schemas.openxmlformats.org/officeDocument/2006/relationships/hyperlink" Id="rId20" Target="https://yadi.sk/i/bpS9IQNqghMQ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legislation/public-hearings/detail/1863416.html" TargetMode="External" /><Relationship Type="http://schemas.openxmlformats.org/officeDocument/2006/relationships/hyperlink" Id="rId20" Target="https://yadi.sk/i/bpS9IQNqghMQ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2025-04-15T13:52:55Z</dcterms:created>
  <dcterms:modified xsi:type="dcterms:W3CDTF">2025-04-15T13:52:55Z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