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887ce54c92f2d652b50237977f596927e9986"/>
    <w:p>
      <w:pPr>
        <w:pStyle w:val="Heading3"/>
      </w:pPr>
      <w:r>
        <w:t xml:space="preserve">Материалы к публичным слушаниям по теме «Проект межевания территории квартала, ограниченного улицей Шеногина, 1-ым Силикатным проездом, Причальным проездом, Шелепихинской набережной (район Хорошево-Мневники. СЗАО)»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hyperlink r:id="rId20">
        <w:r>
          <w:rPr>
            <w:rStyle w:val="Hyperlink"/>
          </w:rPr>
          <w:t xml:space="preserve">Проект (Файл для скачивания)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http://horoshevo-mnevniki.mos.ru/legislation/public-hearings/detail/2017511.html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legislation/public-hearings/detail/2017511.html" TargetMode="External" /><Relationship Type="http://schemas.openxmlformats.org/officeDocument/2006/relationships/hyperlink" Id="rId20" Target="https://yadi.sk/i/9QUYuy3zhyxq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legislation/public-hearings/detail/2017511.html" TargetMode="External" /><Relationship Type="http://schemas.openxmlformats.org/officeDocument/2006/relationships/hyperlink" Id="rId20" Target="https://yadi.sk/i/9QUYuy3zhyxq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2025-04-15T13:52:53Z</dcterms:created>
  <dcterms:modified xsi:type="dcterms:W3CDTF">2025-04-15T13:52:53Z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