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a035484bb0c0a2544a99966724d73bd906a97"/>
    <w:p>
      <w:pPr>
        <w:pStyle w:val="Heading3"/>
      </w:pPr>
      <w:r>
        <w:t xml:space="preserve">Заключение № 72/13ПС о результатах публичных слушаний по «Проекту межевания территории квартала района Хорошево-Мневники, ограниченного: проспектом Маршала Жукова, Карамышевской набережной, Карамышевским проездом»</w:t>
      </w:r>
    </w:p>
    <w:p>
      <w:pPr>
        <w:pStyle w:val="FirstParagraph"/>
      </w:pPr>
      <w:r>
        <w:t xml:space="preserve">25.11.2013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http://horoshevo-mnevniki.mos.ru/legislation/public-hearings/detail/902544.html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902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902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2025-04-15T13:53:26Z</dcterms:created>
  <dcterms:modified xsi:type="dcterms:W3CDTF">2025-04-15T13:53:26Z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