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50638c14c97083fc390ef6a0386bdd1dc8dce"/>
    <w:p>
      <w:pPr>
        <w:pStyle w:val="Heading3"/>
      </w:pPr>
      <w:r>
        <w:t xml:space="preserve">Заключение № 24/13ПС о результатах публичных слушаний по «Проекту межевания территории квартала, ограниченного: 1-ой линией Хорошевского Серебряного Бора, Центральным проездом Хорошевского Серебряного Бора, 2-ой линией Хорошевского Серебряного Бора</w:t>
      </w:r>
    </w:p>
    <w:p>
      <w:pPr>
        <w:pStyle w:val="FirstParagraph"/>
      </w:pPr>
      <w:r>
        <w:t xml:space="preserve">27.03.2013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http://horoshevo-mnevniki.mos.ru/legislation/public-hearings/detail/903315.html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3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3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2025-06-27T23:03:15Z</dcterms:created>
  <dcterms:modified xsi:type="dcterms:W3CDTF">2025-06-27T23:03:15Z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