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8ebb7b6bf89da3c25b0d672e0708b93b344aa"/>
    <w:p>
      <w:pPr>
        <w:pStyle w:val="Heading3"/>
      </w:pPr>
      <w:r>
        <w:t xml:space="preserve">Заключение № 37/12ПС о результатах публичных слушаний по «Проекту градостроительного плана земельного участка для осуществления строительства пристройки к школе БНК на 250 мест по адресу: ул. Живописная, вл.11, к.2»</w:t>
      </w:r>
    </w:p>
    <w:p>
      <w:pPr>
        <w:pStyle w:val="FirstParagraph"/>
      </w:pPr>
      <w:r>
        <w:t xml:space="preserve">17.05.2012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http://horoshevo-mnevniki.mos.ru/legislation/public-hearings/detail/905769.html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5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5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2025-07-27T23:43:39Z</dcterms:created>
  <dcterms:modified xsi:type="dcterms:W3CDTF">2025-07-27T23:43:39Z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