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d82850dd05de08e3d1f06e71327b9546ea62"/>
    <w:p>
      <w:pPr>
        <w:pStyle w:val="Heading3"/>
      </w:pPr>
      <w:r>
        <w:t xml:space="preserve">Заключение № 14/14ПС о результатах публичных слушаний по «Проекту межевания территории квартала района Хорошево-Мневники, ограниченного улицей Народного Ополчения, улицей Берзарина, границей земельного участка, границей территории ПК №122-СЗАО»</w:t>
      </w:r>
    </w:p>
    <w:p>
      <w:pPr>
        <w:pStyle w:val="FirstParagraph"/>
      </w:pPr>
      <w:r>
        <w:t xml:space="preserve">12.03.2014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http://horoshevo-mnevniki.mos.ru/public-hearings/detail/934031.html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34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34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2025-04-15T13:53:24Z</dcterms:created>
  <dcterms:modified xsi:type="dcterms:W3CDTF">2025-04-15T13:53:24Z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