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cf2af89e957b79d78a5a75b33f07c1060976d"/>
    <w:p>
      <w:pPr>
        <w:pStyle w:val="Heading3"/>
      </w:pPr>
      <w:r>
        <w:t xml:space="preserve">Соблюдайте меры безопасности при использовании пиротехнической продукции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drawing>
          <wp:inline>
            <wp:extent cx="5334000" cy="7542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oroshevo-mnevniki.mos.ru/www/листовка%20пожарная%20безопасность%20фейерверки_Страница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http://horoshevo-mnevniki.mos.ru/the-rule-of-law-security-legality/moe/fire-safety/detail/11308794.html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oroshevo-mnevniki.mos.ru" TargetMode="External" /><Relationship Type="http://schemas.openxmlformats.org/officeDocument/2006/relationships/hyperlink" Id="rId23" Target="http://horoshevo-mnevniki.mos.ru/the-rule-of-law-security-legality/moe/fire-safety/detail/11308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oroshevo-mnevniki.mos.ru" TargetMode="External" /><Relationship Type="http://schemas.openxmlformats.org/officeDocument/2006/relationships/hyperlink" Id="rId23" Target="http://horoshevo-mnevniki.mos.ru/the-rule-of-law-security-legality/moe/fire-safety/detail/11308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2025-04-15T13:42:23Z</dcterms:created>
  <dcterms:modified xsi:type="dcterms:W3CDTF">2025-04-15T13:42:23Z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