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aae3caaf46552ce745ba9aa10dcf31490877b"/>
    <w:p>
      <w:pPr>
        <w:pStyle w:val="Heading3"/>
      </w:pPr>
      <w:r>
        <w:t xml:space="preserve">Правила безопасности в новогодние праздники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oroshevo-mnevniki.mos.ru/www/1_Елки_А4_вертикальны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http://horoshevo-mnevniki.mos.ru/the-rule-of-law-security-legality/moe/fire-safety/detail/11328556.html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oroshevo-mnevniki.mos.ru" TargetMode="External" /><Relationship Type="http://schemas.openxmlformats.org/officeDocument/2006/relationships/hyperlink" Id="rId23" Target="http://horoshevo-mnevniki.mos.ru/the-rule-of-law-security-legality/moe/fire-safety/detail/11328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oroshevo-mnevniki.mos.ru" TargetMode="External" /><Relationship Type="http://schemas.openxmlformats.org/officeDocument/2006/relationships/hyperlink" Id="rId23" Target="http://horoshevo-mnevniki.mos.ru/the-rule-of-law-security-legality/moe/fire-safety/detail/11328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2025-04-15T13:42:20Z</dcterms:created>
  <dcterms:modified xsi:type="dcterms:W3CDTF">2025-04-15T13:42:20Z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