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4e3a96ac5ea2544934ac336a9f27f1da7fb51"/>
    <w:p>
      <w:pPr>
        <w:pStyle w:val="Heading3"/>
      </w:pPr>
      <w:r>
        <w:t xml:space="preserve">Председатели ОПОП района Хорошево-Мневники проверили антитеррористическую защищенность в рамках общегородского проекта «Мой безопасный район» и в целях улучшения охраны общественного порядка.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http://horoshevo-mnevniki.mos.ru/the-rule-of-law-security-legality/obshchestvennye-punkty-okhrany-poryadka-opop/detail/12790882.html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the-rule-of-law-security-legality/obshchestvennye-punkty-okhrany-poryadka-opop/detail/12790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the-rule-of-law-security-legality/obshchestvennye-punkty-okhrany-poryadka-opop/detail/12790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2025-03-05T15:21:46Z</dcterms:created>
  <dcterms:modified xsi:type="dcterms:W3CDTF">2025-03-05T15:21:46Z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