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tabs>
          <w:tab w:leader="none" w:pos="7300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pacing w:val="0"/>
          <w:sz w:val="28"/>
        </w:rPr>
      </w:pPr>
    </w:p>
    <w:p w14:paraId="02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Прокуратурой округа утверждено обвинительное заключение в отношении мужчины, обвиняемого в хищении денежных средств бюджетных учреждений в особо крупном размере</w:t>
      </w:r>
    </w:p>
    <w:p w14:paraId="03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sz w:val="28"/>
        </w:rPr>
      </w:pPr>
    </w:p>
    <w:p w14:paraId="04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Установлено, что обвиняемый, 1979 г.р., </w:t>
      </w:r>
      <w:r>
        <w:rPr>
          <w:rFonts w:ascii="Times New Roman" w:hAnsi="Times New Roman"/>
          <w:sz w:val="28"/>
        </w:rPr>
        <w:t xml:space="preserve">являющийся генеральным директором коммерческой организации, </w:t>
      </w:r>
      <w:r>
        <w:rPr>
          <w:rFonts w:ascii="Times New Roman" w:hAnsi="Times New Roman"/>
          <w:sz w:val="28"/>
        </w:rPr>
        <w:t>совместно с неустановленными лицами, разработали преступный план, направленный на хищение бюджетных денежных средств.</w:t>
      </w:r>
    </w:p>
    <w:p w14:paraId="05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Действуя во исполнение разработанного преступного плана, фигурант и неустановленные соучастники заключили между бюджетным учреждением                      г. Москвы и организацией гражданско-правовой договор бюджетного учреждения на выполнение работ по установке малых архитектурных форм, ремонту асфальтового покрытия и резинового покрытия в районе Строгино, а также гражданско-правовой договор бюджетного учреждения на выполнение работ по ремонту территорий образовательных учреждений, расположенных в районе Строгино, предусматривающие образование в процессе выполнения работ строительного мусора, перевозка и размещение (утилизация) которого включена в стоимость выполняемых работ по указанным договорам и в соответствии с шифрами расценки и кодами ресурсов локальных смет относящегося, в том числе, к отходам IV и V классов опасности. </w:t>
      </w:r>
    </w:p>
    <w:p w14:paraId="06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Между тем, обвиняемый, будучи генеральным директором организации, заведомо зная и не имея предусмотренной законодательством лицензии на осуществление деятельности по сбору, транспортированию, обработке, утилизации, обезвреживанию, размещению отходов I – IV классов опасности, в отсутствие заключенного и действующего договора с юридическими лицами, обладающим такой лицензией, в период действия заключенных с бюджетным учреждением указанных договоров, при неустановленных следствием обстоятельствах, предоставил поддельный договор между организацией (Заказчик) и Обществом (Исполнитель), в соответствии с которым Исполнитель принимает и осуществляет определение класса опасности отходов, осуществляет складирование с последующим технологическим использованием.</w:t>
      </w:r>
    </w:p>
    <w:p w14:paraId="07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результате чего, обвиняемый совместно с неустановленными соучастниками ввел в заблуждение сотрудников бюджетного учреждения, после чего включил в акты о приемке выполненных работ формы КС-2, справку о стоимости выполненных работ и затрат формы КС-3, выполнение работ, связанных с деятельностью по сбору, транспортированию, обработке, утилизации, обезвреживанию, размещению отходов IV и V классов опасности, и завладели направленными на оплату указанных работ денежными средствами в общей сумме 6 154 264 рубля 23 копейки, то есть совершили хищение бюджетных денежных средств.</w:t>
      </w:r>
    </w:p>
    <w:p w14:paraId="08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Районным судом наложен арест на доли в уставном капитале организации в размере 100 %, стоимостью более 7 миллионов рублей.</w:t>
      </w:r>
    </w:p>
    <w:p w14:paraId="09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Уголовное дело направлено в суд для рассмотрения по существу.</w:t>
      </w:r>
    </w:p>
    <w:p w14:paraId="0A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2025-06-23T08:43:41Z</dcterms:created>
  <dcterms:modified xsi:type="dcterms:W3CDTF">2026-10-14T06:44:22Z</dcterms:modified>
</cp:coreProperties>
</file>