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before="0" w:line="240" w:lineRule="auto"/>
        <w:ind w:firstLine="113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Обеспечение готовности многоквартирного дома к отопительному периоду и получение соответствующего паспорта являются обязательной частью оказания услуг и выполнения работ, которые обеспечивают надлежащее содержание общего имущества в многоквартирном доме и включены в состав лицензионных требований</w:t>
      </w:r>
    </w:p>
    <w:p w14:paraId="02000000">
      <w:pPr>
        <w:pStyle w:val="Style_1"/>
        <w:spacing w:before="0" w:line="240" w:lineRule="auto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Необеспечение готовности многоквартирного дома к отопительному периоду и неполучение паспорта обеспечения готовности к отопительному периоду представляют собой нарушение лицензионного требования, установленного частью 2.3 статьи 161 ЖК РФ. В части проведения гидравлических испытаний, промывки и регулировки мероприятий нарушение может быть признано грубым и повлечь исключение сведений о многоквартирном доме из реестра лицензий субъекта РФ.</w:t>
      </w:r>
    </w:p>
    <w:p w14:paraId="03000000">
      <w:pPr>
        <w:pStyle w:val="Style_1"/>
        <w:spacing w:before="0" w:line="240" w:lineRule="auto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частью 2 статьи 14.1.3 КоАП РФ предусмотрена административная ответственность за осуществление предпринимательской деятельности по управлению многоквартирными домами с нарушением лицензионных требований, а частью 3 статью 14.1.3 КоАП РФ - за осуществление предпринимательской деятельности по управлению многоквартирными домами с грубым нарушением лицензионных требований.</w:t>
      </w:r>
    </w:p>
    <w:p w14:paraId="04000000">
      <w:pPr>
        <w:pStyle w:val="Style_1"/>
        <w:spacing w:before="0" w:line="240" w:lineRule="auto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неполучения управляющей организацией паспорта готовности многоквартирного дома к отопительному периоду административная ответственность наступает в соответствии с частью 2 статьи 14.1.3 КоАП РФ, а в случае непроведения промывки и опрессовки, относимых в соответствии с Положением о лицензировании предпринимательской деятельности по управлению многоквартирными домами, утвержденным Постановлением Правительства РФ от 28 октября 2014 г. N 1110 к грубым нарушениям лицензионных требований, - в соответствии с частью 3 статьи 14.1.3 КоАП РФ.</w:t>
      </w:r>
    </w:p>
    <w:p w14:paraId="05000000">
      <w:pPr>
        <w:pStyle w:val="Style_1"/>
        <w:spacing w:before="0" w:line="240" w:lineRule="auto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товариществ собственников жилья, жилищно-строительных кооперативов, жилищных кооперативов или иных специализированных потребительских кооперативов в случае неготовности многоквартирных домов, находящихся в их управлении, к отопительному периоду и невыполнении предписания (постановления, представления, решения) об устранении нарушений, допущенных при подготовке к отопительному периоду, предусмотрена административная ответственность в соответствии со статьей 19.5 КоАП РФ.</w:t>
      </w:r>
    </w:p>
    <w:p w14:paraId="06000000">
      <w:pPr>
        <w:pStyle w:val="Style_1"/>
        <w:spacing w:before="0" w:line="240" w:lineRule="auto"/>
        <w:ind w:firstLine="1134"/>
        <w:jc w:val="both"/>
        <w:rPr>
          <w:rFonts w:ascii="Times New Roman" w:hAnsi="Times New Roman"/>
          <w:sz w:val="28"/>
        </w:rPr>
      </w:pPr>
    </w:p>
    <w:p w14:paraId="07000000">
      <w:pPr>
        <w:pStyle w:val="Style_1"/>
        <w:spacing w:before="0" w:line="240" w:lineRule="auto"/>
        <w:ind w:firstLine="1134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(Письмо</w:t>
      </w:r>
      <w:r>
        <w:rPr>
          <w:rFonts w:ascii="Times New Roman" w:hAnsi="Times New Roman"/>
          <w:sz w:val="28"/>
        </w:rPr>
        <w:t xml:space="preserve"> Минстроя России от 23.09.2025 № 56428-АФ/04 «</w:t>
      </w:r>
      <w:r>
        <w:rPr>
          <w:rFonts w:ascii="Times New Roman" w:hAnsi="Times New Roman"/>
          <w:sz w:val="28"/>
        </w:rPr>
        <w:t>Об обеспечении готовности многоквартирного дома к отопительному периоду»)</w:t>
      </w:r>
    </w:p>
    <w:p w14:paraId="08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</w:p>
    <w:sectPr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2" w:type="paragraph">
    <w:name w:val="toc 2"/>
    <w:next w:val="Style_3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4" w:type="paragraph">
    <w:name w:val="toc 4"/>
    <w:next w:val="Style_3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ConsPlusTextList"/>
    <w:link w:val="Style_5_ch"/>
    <w:pPr>
      <w:widowControl w:val="0"/>
      <w:ind/>
    </w:pPr>
    <w:rPr>
      <w:rFonts w:ascii="Times New Roman" w:hAnsi="Times New Roman"/>
      <w:sz w:val="24"/>
    </w:rPr>
  </w:style>
  <w:style w:styleId="Style_5_ch" w:type="character">
    <w:name w:val="ConsPlusTextList"/>
    <w:link w:val="Style_5"/>
    <w:rPr>
      <w:rFonts w:ascii="Times New Roman" w:hAnsi="Times New Roman"/>
      <w:sz w:val="24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3" w:type="paragraph">
    <w:name w:val="Normal"/>
    <w:link w:val="Style_3_ch"/>
    <w:uiPriority w:val="0"/>
    <w:qFormat/>
  </w:style>
  <w:style w:styleId="Style_3_ch" w:type="character">
    <w:name w:val="Normal"/>
    <w:link w:val="Style_3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onsPlusTitlePage"/>
    <w:link w:val="Style_10_ch"/>
    <w:pPr>
      <w:widowControl w:val="0"/>
      <w:ind/>
    </w:pPr>
    <w:rPr>
      <w:rFonts w:ascii="Tahoma" w:hAnsi="Tahoma"/>
      <w:sz w:val="20"/>
    </w:rPr>
  </w:style>
  <w:style w:styleId="Style_10_ch" w:type="character">
    <w:name w:val="ConsPlusTitlePage"/>
    <w:link w:val="Style_10"/>
    <w:rPr>
      <w:rFonts w:ascii="Tahoma" w:hAnsi="Tahoma"/>
      <w:sz w:val="20"/>
    </w:rPr>
  </w:style>
  <w:style w:styleId="Style_11" w:type="paragraph">
    <w:name w:val="ConsPlusTextList"/>
    <w:link w:val="Style_11_ch"/>
    <w:pPr>
      <w:widowControl w:val="0"/>
      <w:ind/>
    </w:pPr>
    <w:rPr>
      <w:rFonts w:ascii="Times New Roman" w:hAnsi="Times New Roman"/>
      <w:sz w:val="24"/>
    </w:rPr>
  </w:style>
  <w:style w:styleId="Style_11_ch" w:type="character">
    <w:name w:val="ConsPlusTextList"/>
    <w:link w:val="Style_11"/>
    <w:rPr>
      <w:rFonts w:ascii="Times New Roman" w:hAnsi="Times New Roman"/>
      <w:sz w:val="24"/>
    </w:rPr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ConsPlusJurTerm"/>
    <w:link w:val="Style_13_ch"/>
    <w:pPr>
      <w:widowControl w:val="0"/>
      <w:ind/>
    </w:pPr>
    <w:rPr>
      <w:rFonts w:ascii="Tahoma" w:hAnsi="Tahoma"/>
      <w:sz w:val="26"/>
    </w:rPr>
  </w:style>
  <w:style w:styleId="Style_13_ch" w:type="character">
    <w:name w:val="ConsPlusJurTerm"/>
    <w:link w:val="Style_13"/>
    <w:rPr>
      <w:rFonts w:ascii="Tahoma" w:hAnsi="Tahoma"/>
      <w:sz w:val="26"/>
    </w:rPr>
  </w:style>
  <w:style w:styleId="Style_14" w:type="paragraph">
    <w:name w:val="ConsPlusNonformat"/>
    <w:link w:val="Style_14_ch"/>
    <w:pPr>
      <w:widowControl w:val="0"/>
      <w:ind/>
    </w:pPr>
    <w:rPr>
      <w:rFonts w:ascii="Courier New" w:hAnsi="Courier New"/>
      <w:sz w:val="20"/>
    </w:rPr>
  </w:style>
  <w:style w:styleId="Style_14_ch" w:type="character">
    <w:name w:val="ConsPlusNonformat"/>
    <w:link w:val="Style_14"/>
    <w:rPr>
      <w:rFonts w:ascii="Courier New" w:hAnsi="Courier New"/>
      <w:sz w:val="20"/>
    </w:rPr>
  </w:style>
  <w:style w:styleId="Style_15" w:type="paragraph">
    <w:name w:val="ConsPlusCell"/>
    <w:link w:val="Style_15_ch"/>
    <w:pPr>
      <w:widowControl w:val="0"/>
      <w:ind/>
    </w:pPr>
    <w:rPr>
      <w:rFonts w:ascii="Courier New" w:hAnsi="Courier New"/>
      <w:sz w:val="20"/>
    </w:rPr>
  </w:style>
  <w:style w:styleId="Style_15_ch" w:type="character">
    <w:name w:val="ConsPlusCell"/>
    <w:link w:val="Style_15"/>
    <w:rPr>
      <w:rFonts w:ascii="Courier New" w:hAnsi="Courier New"/>
      <w:sz w:val="20"/>
    </w:rPr>
  </w:style>
  <w:style w:styleId="Style_16" w:type="paragraph">
    <w:name w:val="heading 5"/>
    <w:next w:val="Style_3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3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ConsPlusTitle"/>
    <w:link w:val="Style_18_ch"/>
    <w:pPr>
      <w:widowControl w:val="0"/>
      <w:ind/>
    </w:pPr>
    <w:rPr>
      <w:rFonts w:ascii="Arial" w:hAnsi="Arial"/>
      <w:b w:val="1"/>
      <w:sz w:val="24"/>
    </w:rPr>
  </w:style>
  <w:style w:styleId="Style_18_ch" w:type="character">
    <w:name w:val="ConsPlusTitle"/>
    <w:link w:val="Style_18"/>
    <w:rPr>
      <w:rFonts w:ascii="Arial" w:hAnsi="Arial"/>
      <w:b w:val="1"/>
      <w:sz w:val="24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3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3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3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3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3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3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ConsPlusDocList"/>
    <w:link w:val="Style_29_ch"/>
    <w:pPr>
      <w:widowControl w:val="0"/>
      <w:ind/>
    </w:pPr>
    <w:rPr>
      <w:rFonts w:ascii="Tahoma" w:hAnsi="Tahoma"/>
      <w:sz w:val="18"/>
    </w:rPr>
  </w:style>
  <w:style w:styleId="Style_29_ch" w:type="character">
    <w:name w:val="ConsPlusDocList"/>
    <w:link w:val="Style_29"/>
    <w:rPr>
      <w:rFonts w:ascii="Tahoma" w:hAnsi="Tahoma"/>
      <w:sz w:val="18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2025-10-07T11:36:13Z</dcterms:modified>
</cp:coreProperties>
</file>