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709"/>
        <w:jc w:val="both"/>
        <w:rPr>
          <w:sz w:val="28"/>
        </w:rPr>
      </w:pPr>
      <w:r>
        <w:rPr>
          <w:b w:val="1"/>
          <w:sz w:val="28"/>
        </w:rPr>
        <w:t>МЧС России утвержден порядок добровольного участия граждан в обеспечении безопасности людей на водных объектах</w:t>
      </w:r>
    </w:p>
    <w:p w14:paraId="02000000">
      <w:pPr>
        <w:pStyle w:val="Style_1"/>
        <w:ind w:firstLine="709"/>
        <w:jc w:val="both"/>
        <w:rPr>
          <w:sz w:val="28"/>
        </w:rPr>
      </w:pPr>
    </w:p>
    <w:p w14:paraId="03000000">
      <w:pPr>
        <w:pStyle w:val="Style_1"/>
        <w:spacing w:before="240"/>
        <w:ind w:firstLine="709"/>
        <w:jc w:val="both"/>
        <w:rPr>
          <w:sz w:val="28"/>
        </w:rPr>
      </w:pPr>
      <w:r>
        <w:rPr>
          <w:sz w:val="28"/>
        </w:rPr>
        <w:t>Приказом</w:t>
      </w:r>
      <w:r>
        <w:rPr>
          <w:sz w:val="28"/>
        </w:rPr>
        <w:t xml:space="preserve"> МЧС России от 09.09.2025 № 796 «</w:t>
      </w:r>
      <w:r>
        <w:rPr>
          <w:sz w:val="28"/>
        </w:rPr>
        <w:t>Об утверждении Порядка добровольного участия граждан в обеспечении безопасности людей на водных объектах» установлено, что д</w:t>
      </w:r>
      <w:r>
        <w:rPr>
          <w:sz w:val="28"/>
        </w:rPr>
        <w:t>обровольное участие в обеспечении безопасности людей на водных объектах осуществляется гражданами:</w:t>
      </w:r>
    </w:p>
    <w:p w14:paraId="04000000">
      <w:pPr>
        <w:pStyle w:val="Style_1"/>
        <w:numPr>
          <w:numId w:val="1"/>
        </w:numPr>
        <w:spacing w:before="240"/>
        <w:ind/>
        <w:jc w:val="both"/>
        <w:rPr>
          <w:sz w:val="28"/>
        </w:rPr>
      </w:pPr>
      <w:r>
        <w:rPr>
          <w:sz w:val="28"/>
        </w:rPr>
        <w:t>достигшими 18-летнего возраста;</w:t>
      </w:r>
    </w:p>
    <w:p w14:paraId="05000000">
      <w:pPr>
        <w:pStyle w:val="Style_1"/>
        <w:numPr>
          <w:numId w:val="2"/>
        </w:numPr>
        <w:spacing w:before="240"/>
        <w:ind/>
        <w:jc w:val="both"/>
        <w:rPr>
          <w:sz w:val="28"/>
        </w:rPr>
      </w:pPr>
      <w:r>
        <w:rPr>
          <w:sz w:val="28"/>
        </w:rPr>
        <w:t>имеющими удостоверение на право управления маломерным судном.</w:t>
      </w:r>
    </w:p>
    <w:p w14:paraId="06000000">
      <w:pPr>
        <w:pStyle w:val="Style_1"/>
        <w:spacing w:before="240"/>
        <w:ind w:firstLine="709"/>
        <w:jc w:val="both"/>
        <w:rPr>
          <w:sz w:val="28"/>
        </w:rPr>
      </w:pPr>
      <w:r>
        <w:rPr>
          <w:sz w:val="28"/>
        </w:rPr>
        <w:t>Добровольное участие вышеназванных граждан в обеспечении безопасности людей на водных объектах осуществляется после их зачисления во внештатные общественные инспекторы Государственной инспекции по маломерным судам  МЧС России.</w:t>
      </w:r>
    </w:p>
    <w:p w14:paraId="07000000">
      <w:pPr>
        <w:pStyle w:val="Style_1"/>
        <w:spacing w:before="240"/>
        <w:ind w:firstLine="709"/>
        <w:jc w:val="both"/>
        <w:rPr>
          <w:sz w:val="28"/>
        </w:rPr>
      </w:pPr>
      <w:r>
        <w:rPr>
          <w:sz w:val="28"/>
        </w:rPr>
        <w:t>В целях зачисления во внештатные общественные инспекторы необходимо подать соответствующее заявление в инспекторское подразделение ГИМС МЧС России. В приложении к Порядку приводится образец указанного заявления.</w:t>
      </w:r>
    </w:p>
    <w:p w14:paraId="08000000">
      <w:pPr>
        <w:pStyle w:val="Style_1"/>
      </w:pPr>
    </w:p>
    <w:sectPr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2" w:type="paragraph">
    <w:name w:val="toc 2"/>
    <w:next w:val="Style_3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4" w:type="paragraph">
    <w:name w:val="toc 4"/>
    <w:next w:val="Style_3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3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3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ConsPlusDocList"/>
    <w:link w:val="Style_7_ch"/>
    <w:pPr>
      <w:widowControl w:val="0"/>
      <w:ind/>
    </w:pPr>
    <w:rPr>
      <w:rFonts w:ascii="Tahoma" w:hAnsi="Tahoma"/>
      <w:sz w:val="18"/>
    </w:rPr>
  </w:style>
  <w:style w:styleId="Style_7_ch" w:type="character">
    <w:name w:val="ConsPlusDocList"/>
    <w:link w:val="Style_7"/>
    <w:rPr>
      <w:rFonts w:ascii="Tahoma" w:hAnsi="Tahoma"/>
      <w:sz w:val="18"/>
    </w:rPr>
  </w:style>
  <w:style w:styleId="Style_3" w:type="paragraph">
    <w:name w:val="Normal"/>
    <w:link w:val="Style_3_ch"/>
    <w:uiPriority w:val="0"/>
    <w:qFormat/>
  </w:style>
  <w:style w:styleId="Style_3_ch" w:type="character">
    <w:name w:val="Normal"/>
    <w:link w:val="Style_3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ConsPlusNonformat"/>
    <w:link w:val="Style_10_ch"/>
    <w:pPr>
      <w:widowControl w:val="0"/>
      <w:ind/>
    </w:pPr>
    <w:rPr>
      <w:rFonts w:ascii="Courier New" w:hAnsi="Courier New"/>
      <w:sz w:val="20"/>
    </w:rPr>
  </w:style>
  <w:style w:styleId="Style_10_ch" w:type="character">
    <w:name w:val="ConsPlusNonformat"/>
    <w:link w:val="Style_10"/>
    <w:rPr>
      <w:rFonts w:ascii="Courier New" w:hAnsi="Courier New"/>
      <w:sz w:val="20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ConsPlusCell"/>
    <w:link w:val="Style_12_ch"/>
    <w:pPr>
      <w:widowControl w:val="0"/>
      <w:ind/>
    </w:pPr>
    <w:rPr>
      <w:rFonts w:ascii="Courier New" w:hAnsi="Courier New"/>
      <w:sz w:val="20"/>
    </w:rPr>
  </w:style>
  <w:style w:styleId="Style_12_ch" w:type="character">
    <w:name w:val="ConsPlusCell"/>
    <w:link w:val="Style_12"/>
    <w:rPr>
      <w:rFonts w:ascii="Courier New" w:hAnsi="Courier New"/>
      <w:sz w:val="20"/>
    </w:rPr>
  </w:style>
  <w:style w:styleId="Style_13" w:type="paragraph">
    <w:name w:val="ConsPlusTitlePage"/>
    <w:link w:val="Style_13_ch"/>
    <w:pPr>
      <w:widowControl w:val="0"/>
      <w:ind/>
    </w:pPr>
    <w:rPr>
      <w:rFonts w:ascii="Tahoma" w:hAnsi="Tahoma"/>
      <w:sz w:val="20"/>
    </w:rPr>
  </w:style>
  <w:style w:styleId="Style_13_ch" w:type="character">
    <w:name w:val="ConsPlusTitlePage"/>
    <w:link w:val="Style_13"/>
    <w:rPr>
      <w:rFonts w:ascii="Tahoma" w:hAnsi="Tahoma"/>
      <w:sz w:val="20"/>
    </w:rPr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ConsPlusTextList"/>
    <w:link w:val="Style_16_ch"/>
    <w:pPr>
      <w:widowControl w:val="0"/>
      <w:ind/>
    </w:pPr>
    <w:rPr>
      <w:rFonts w:ascii="Times New Roman" w:hAnsi="Times New Roman"/>
      <w:sz w:val="24"/>
    </w:rPr>
  </w:style>
  <w:style w:styleId="Style_16_ch" w:type="character">
    <w:name w:val="ConsPlusTextList"/>
    <w:link w:val="Style_16"/>
    <w:rPr>
      <w:rFonts w:ascii="Times New Roman" w:hAnsi="Times New Roman"/>
      <w:sz w:val="24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3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3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ConsPlusTitle"/>
    <w:link w:val="Style_22_ch"/>
    <w:pPr>
      <w:widowControl w:val="0"/>
      <w:ind/>
    </w:pPr>
    <w:rPr>
      <w:rFonts w:ascii="Arial" w:hAnsi="Arial"/>
      <w:b w:val="1"/>
      <w:sz w:val="24"/>
    </w:rPr>
  </w:style>
  <w:style w:styleId="Style_22_ch" w:type="character">
    <w:name w:val="ConsPlusTitle"/>
    <w:link w:val="Style_22"/>
    <w:rPr>
      <w:rFonts w:ascii="Arial" w:hAnsi="Arial"/>
      <w:b w:val="1"/>
      <w:sz w:val="24"/>
    </w:rPr>
  </w:style>
  <w:style w:styleId="Style_23" w:type="paragraph">
    <w:name w:val="toc 8"/>
    <w:next w:val="Style_3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ConsPlusTextList"/>
    <w:link w:val="Style_24_ch"/>
    <w:pPr>
      <w:widowControl w:val="0"/>
      <w:ind/>
    </w:pPr>
    <w:rPr>
      <w:rFonts w:ascii="Times New Roman" w:hAnsi="Times New Roman"/>
      <w:sz w:val="24"/>
    </w:rPr>
  </w:style>
  <w:style w:styleId="Style_24_ch" w:type="character">
    <w:name w:val="ConsPlusTextList"/>
    <w:link w:val="Style_24"/>
    <w:rPr>
      <w:rFonts w:ascii="Times New Roman" w:hAnsi="Times New Roman"/>
      <w:sz w:val="24"/>
    </w:rPr>
  </w:style>
  <w:style w:styleId="Style_25" w:type="paragraph">
    <w:name w:val="toc 5"/>
    <w:next w:val="Style_3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ConsPlusJurTerm"/>
    <w:link w:val="Style_26_ch"/>
    <w:pPr>
      <w:widowControl w:val="0"/>
      <w:ind/>
    </w:pPr>
    <w:rPr>
      <w:rFonts w:ascii="Tahoma" w:hAnsi="Tahoma"/>
      <w:sz w:val="26"/>
    </w:rPr>
  </w:style>
  <w:style w:styleId="Style_26_ch" w:type="character">
    <w:name w:val="ConsPlusJurTerm"/>
    <w:link w:val="Style_26"/>
    <w:rPr>
      <w:rFonts w:ascii="Tahoma" w:hAnsi="Tahoma"/>
      <w:sz w:val="26"/>
    </w:rPr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2025-10-08T06:10:56Z</dcterms:modified>
</cp:coreProperties>
</file>